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EC061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07651B">
        <w:t xml:space="preserve">Advanced </w:t>
      </w:r>
      <w:r>
        <w:t>Accounting</w:t>
      </w:r>
    </w:p>
    <w:p w14:paraId="0B873E5B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 w:rsidR="0007651B">
        <w:t>33</w:t>
      </w:r>
      <w:r w:rsidR="008E7CA7" w:rsidRPr="00360779">
        <w:t xml:space="preserve"> credits)</w:t>
      </w:r>
      <w:bookmarkStart w:id="0" w:name="_GoBack"/>
      <w:bookmarkEnd w:id="0"/>
    </w:p>
    <w:p w14:paraId="5E6FD8DC" w14:textId="54E69A1F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2037F2">
        <w:rPr>
          <w:rFonts w:cs="Arial"/>
          <w:b/>
          <w:color w:val="FF8000"/>
          <w:position w:val="-2"/>
          <w:sz w:val="16"/>
          <w:szCs w:val="16"/>
        </w:rPr>
        <w:t>2</w:t>
      </w:r>
      <w:r w:rsidR="00317A2E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</w:t>
      </w:r>
      <w:r w:rsidR="00190233">
        <w:rPr>
          <w:rFonts w:cs="Arial"/>
          <w:b/>
          <w:color w:val="FF8000"/>
          <w:position w:val="-2"/>
          <w:sz w:val="16"/>
          <w:szCs w:val="16"/>
        </w:rPr>
        <w:t>2</w:t>
      </w:r>
      <w:r w:rsidR="00317A2E">
        <w:rPr>
          <w:rFonts w:cs="Arial"/>
          <w:b/>
          <w:color w:val="FF8000"/>
          <w:position w:val="-2"/>
          <w:sz w:val="16"/>
          <w:szCs w:val="16"/>
        </w:rPr>
        <w:t>5</w:t>
      </w:r>
      <w:r w:rsidR="00CA0463" w:rsidRPr="00220DD9">
        <w:rPr>
          <w:rFonts w:cs="Arial"/>
          <w:b/>
          <w:color w:val="1F4E79"/>
          <w:position w:val="-2"/>
          <w:sz w:val="16"/>
          <w:szCs w:val="16"/>
        </w:rPr>
        <w:t xml:space="preserve"> </w:t>
      </w:r>
      <w:hyperlink r:id="rId11" w:history="1">
        <w:r w:rsidR="00CA0463" w:rsidRPr="008F37F3">
          <w:rPr>
            <w:rStyle w:val="Hyperlink"/>
            <w:b/>
            <w:color w:val="1F4E79"/>
            <w:sz w:val="16"/>
            <w:szCs w:val="16"/>
          </w:rPr>
          <w:t>Program Requirements</w:t>
        </w:r>
      </w:hyperlink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2037F2">
        <w:rPr>
          <w:rFonts w:cs="Arial"/>
          <w:color w:val="17365D"/>
          <w:position w:val="-2"/>
          <w:sz w:val="16"/>
          <w:szCs w:val="16"/>
        </w:rPr>
        <w:t>2</w:t>
      </w:r>
      <w:r w:rsidR="00317A2E">
        <w:rPr>
          <w:rFonts w:cs="Arial"/>
          <w:color w:val="17365D"/>
          <w:position w:val="-2"/>
          <w:sz w:val="16"/>
          <w:szCs w:val="16"/>
        </w:rPr>
        <w:t>4</w:t>
      </w:r>
    </w:p>
    <w:p w14:paraId="03DF6BC8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>Please contact</w:t>
      </w:r>
      <w:r w:rsidR="006B5C70" w:rsidRPr="008F37F3">
        <w:rPr>
          <w:color w:val="1F4E79"/>
        </w:rPr>
        <w:t xml:space="preserve"> </w:t>
      </w:r>
      <w:hyperlink r:id="rId12" w:history="1">
        <w:r w:rsidR="005C54F8">
          <w:rPr>
            <w:rStyle w:val="Hyperlink"/>
            <w:color w:val="1F4E79"/>
          </w:rPr>
          <w:t>Faculty of Business A</w:t>
        </w:r>
        <w:r w:rsidR="00F921F4" w:rsidRPr="008F37F3">
          <w:rPr>
            <w:rStyle w:val="Hyperlink"/>
            <w:color w:val="1F4E79"/>
          </w:rPr>
          <w:t>dvising Services</w:t>
        </w:r>
      </w:hyperlink>
      <w:r w:rsidR="00F921F4">
        <w:t xml:space="preserve"> </w:t>
      </w:r>
      <w:r w:rsidR="006B5C70" w:rsidRPr="00127279">
        <w:t>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24394077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2D3694CD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21F73858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36AED6C" w14:textId="77777777" w:rsidR="00E229FF" w:rsidRPr="00E229FF" w:rsidRDefault="00E229FF" w:rsidP="00E229FF">
      <w:pPr>
        <w:rPr>
          <w:vanish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165"/>
        <w:gridCol w:w="1192"/>
        <w:gridCol w:w="1399"/>
        <w:gridCol w:w="1324"/>
        <w:gridCol w:w="2851"/>
      </w:tblGrid>
      <w:tr w:rsidR="0007651B" w:rsidRPr="00E229FF" w14:paraId="6310A325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8231A0E" w14:textId="77777777" w:rsidR="0007651B" w:rsidRPr="00E229FF" w:rsidRDefault="0007651B" w:rsidP="0007651B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LEVEL 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75AB7269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D511291" w14:textId="77777777" w:rsidR="0007651B" w:rsidRPr="00E229FF" w:rsidRDefault="0007651B" w:rsidP="0007651B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position w:val="-2"/>
                <w:sz w:val="17"/>
                <w:szCs w:val="17"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A421839" w14:textId="77777777" w:rsidR="0007651B" w:rsidRPr="00E229FF" w:rsidRDefault="0007651B" w:rsidP="0007651B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4A80A7E" w14:textId="77777777" w:rsidR="0007651B" w:rsidRPr="00E229FF" w:rsidRDefault="0007651B" w:rsidP="00E229FF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DA737B4" w14:textId="77777777" w:rsidR="0007651B" w:rsidRPr="00E229FF" w:rsidRDefault="0007651B" w:rsidP="00E229FF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E229FF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="0007651B" w:rsidRPr="00E229FF" w14:paraId="223FE69D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4FA979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253111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D8362A" w14:textId="77777777" w:rsidR="0007651B" w:rsidRPr="00E229FF" w:rsidRDefault="00317A2E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3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A2ACB1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C7EE6B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128332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3694701A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7ED98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6B9DE9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6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9597EA" w14:textId="77777777" w:rsidR="0007651B" w:rsidRPr="00E229FF" w:rsidRDefault="00317A2E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4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ACCT454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F19C2F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01AF6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B31E0C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="0007651B" w:rsidRPr="00E229FF" w14:paraId="0C7B1B5F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9D62B1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E02AEA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9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DB54B6" w14:textId="77777777" w:rsidR="0007651B" w:rsidRPr="00E229FF" w:rsidRDefault="00317A2E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5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4D8DC8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44E5F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36B99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07651B" w:rsidRPr="00E229FF" w14:paraId="6E362F81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D5B77E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ED4E84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12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E9ED74" w14:textId="77777777" w:rsidR="0007651B" w:rsidRPr="00E229FF" w:rsidRDefault="00317A2E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6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TAXX301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474A43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F8E55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836E9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74E8AEE8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C95ED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4895C1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15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A5EEAC" w14:textId="77777777" w:rsidR="0007651B" w:rsidRPr="00E229FF" w:rsidRDefault="00317A2E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7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ACCT460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C202FF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F9A131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A9A340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6E5DCB33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8AE043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CA260E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22DE60" w14:textId="77777777" w:rsidR="0007651B" w:rsidRPr="00E229FF" w:rsidRDefault="00317A2E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8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B9C2F2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788EFC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1247EB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475E3F17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4952A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F46C2A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E67A7F" w14:textId="77777777" w:rsidR="0007651B" w:rsidRPr="00E229FF" w:rsidRDefault="00317A2E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19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TAXX401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F641EA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4B7784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34BDB3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07651B" w:rsidRPr="00E229FF" w14:paraId="2B9521D0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A71EA4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4F1F6A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751B4C" w14:textId="77777777" w:rsidR="0007651B" w:rsidRPr="00E229FF" w:rsidRDefault="00317A2E" w:rsidP="0007651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r:id="rId20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A4FAC3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3507F8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7F9C1F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See recommendations below</w:t>
            </w:r>
          </w:p>
        </w:tc>
      </w:tr>
      <w:tr w:rsidR="0007651B" w:rsidRPr="00E229FF" w14:paraId="50E1FA13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3EE628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104BD8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27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3A89F7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CBA32B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3F8BAE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DE4AA2" w14:textId="77777777" w:rsidR="0007651B" w:rsidRPr="00E229FF" w:rsidRDefault="00317A2E" w:rsidP="0007651B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07651B" w:rsidRPr="00E229FF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  <w:r w:rsidR="0007651B" w:rsidRPr="00E229FF">
              <w:rPr>
                <w:rFonts w:eastAsia="Times New Roman"/>
                <w:position w:val="-2"/>
                <w:sz w:val="17"/>
                <w:szCs w:val="17"/>
              </w:rPr>
              <w:br/>
              <w:t>See recommendations below</w:t>
            </w:r>
          </w:p>
        </w:tc>
      </w:tr>
      <w:tr w:rsidR="0007651B" w:rsidRPr="00E229FF" w14:paraId="34C456EB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4380D9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B2C56C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30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4C89BE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4CF8C4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F060A0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/>
            <w:shd w:val="clear" w:color="auto" w:fill="auto"/>
          </w:tcPr>
          <w:p w14:paraId="5BB7C9C4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07651B" w:rsidRPr="00E229FF" w14:paraId="64A3C325" w14:textId="77777777" w:rsidTr="00E229FF">
        <w:tc>
          <w:tcPr>
            <w:tcW w:w="876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752BB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119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3DB636" w14:textId="77777777" w:rsidR="0007651B" w:rsidRPr="00E229FF" w:rsidRDefault="0007651B" w:rsidP="00E229FF">
            <w:pPr>
              <w:pStyle w:val="Credits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33</w:t>
            </w:r>
          </w:p>
        </w:tc>
        <w:tc>
          <w:tcPr>
            <w:tcW w:w="121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840D36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FB910F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34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F8A805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  <w:r w:rsidRPr="00E229FF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3000" w:type="dxa"/>
            <w:vMerge/>
            <w:shd w:val="clear" w:color="auto" w:fill="auto"/>
          </w:tcPr>
          <w:p w14:paraId="67528ACD" w14:textId="77777777" w:rsidR="0007651B" w:rsidRPr="00E229FF" w:rsidRDefault="0007651B" w:rsidP="0007651B">
            <w:pPr>
              <w:pStyle w:val="TableText"/>
              <w:rPr>
                <w:rFonts w:eastAsia="Times New Roman"/>
                <w:szCs w:val="22"/>
              </w:rPr>
            </w:pPr>
          </w:p>
        </w:tc>
      </w:tr>
    </w:tbl>
    <w:p w14:paraId="7982592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899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</w:tblGrid>
      <w:tr w:rsidR="005034C4" w14:paraId="1D344963" w14:textId="77777777" w:rsidTr="3C68317B">
        <w:trPr>
          <w:trHeight w:val="468"/>
        </w:trPr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A2160A" w14:textId="77777777" w:rsidR="005034C4" w:rsidRPr="00E229FF" w:rsidRDefault="009A2C77" w:rsidP="00E229FF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  <w:r w:rsidRPr="00E229FF"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  <w:t>Residency requirement.</w:t>
            </w:r>
            <w:r w:rsidR="0007651B" w:rsidRPr="00E229FF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A minimum of 18</w:t>
            </w:r>
            <w:r w:rsidRPr="00E229FF">
              <w:rPr>
                <w:rFonts w:ascii="Verdana" w:eastAsia="Times New Roman" w:hAnsi="Verdana" w:cs="Verdana"/>
                <w:color w:val="000000"/>
                <w:position w:val="-2"/>
                <w:sz w:val="17"/>
                <w:szCs w:val="17"/>
              </w:rPr>
              <w:t xml:space="preserve"> credits must be obtained through Athabasca University.</w:t>
            </w:r>
          </w:p>
        </w:tc>
      </w:tr>
      <w:tr w:rsidR="005034C4" w14:paraId="27139D83" w14:textId="77777777" w:rsidTr="3C68317B">
        <w:trPr>
          <w:trHeight w:val="1404"/>
        </w:trPr>
        <w:tc>
          <w:tcPr>
            <w:tcW w:w="0" w:type="auto"/>
            <w:shd w:val="clear" w:color="auto" w:fill="auto"/>
          </w:tcPr>
          <w:p w14:paraId="79F026F0" w14:textId="77777777" w:rsidR="00CF092F" w:rsidRPr="00E229FF" w:rsidRDefault="00CF092F" w:rsidP="00E229FF">
            <w:pPr>
              <w:rPr>
                <w:rFonts w:ascii="Verdana" w:eastAsia="Times New Roman" w:hAnsi="Verdana" w:cs="Verdana"/>
                <w:b/>
                <w:color w:val="000000"/>
                <w:position w:val="-2"/>
                <w:sz w:val="17"/>
                <w:szCs w:val="17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5"/>
            </w:tblGrid>
            <w:tr w:rsidR="0007651B" w14:paraId="253992EC" w14:textId="77777777" w:rsidTr="00E229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14:paraId="0D12CC70" w14:textId="77777777" w:rsidR="0007651B" w:rsidRPr="00E229FF" w:rsidRDefault="0007651B" w:rsidP="00E229FF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E229FF">
                    <w:rPr>
                      <w:rFonts w:ascii="Verdana" w:eastAsia="Times New Roman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Students who have completed a previous credential (degree, certificate, or diploma) from Athabasca University or another institution must complete a minimum of 18 credits in course work not previously used towards any credential.</w:t>
                  </w:r>
                </w:p>
              </w:tc>
            </w:tr>
          </w:tbl>
          <w:p w14:paraId="2CC61DFC" w14:textId="77777777" w:rsidR="0007651B" w:rsidRPr="00E229FF" w:rsidRDefault="0007651B" w:rsidP="0007651B">
            <w:pPr>
              <w:rPr>
                <w:rFonts w:eastAsia="Times New Roman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5"/>
            </w:tblGrid>
            <w:tr w:rsidR="0007651B" w14:paraId="42D067B9" w14:textId="77777777" w:rsidTr="3C68317B">
              <w:tc>
                <w:tcPr>
                  <w:tcW w:w="0" w:type="auto"/>
                  <w:tcBorders>
                    <w:top w:val="inset" w:sz="7" w:space="0" w:color="000000" w:themeColor="text1"/>
                    <w:left w:val="inset" w:sz="7" w:space="0" w:color="000000" w:themeColor="text1"/>
                    <w:bottom w:val="inset" w:sz="7" w:space="0" w:color="000000" w:themeColor="text1"/>
                    <w:right w:val="inset" w:sz="7" w:space="0" w:color="000000" w:themeColor="text1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14:paraId="47791381" w14:textId="77777777" w:rsidR="0007651B" w:rsidRPr="00E229FF" w:rsidRDefault="0007651B" w:rsidP="00E229FF">
                  <w:pPr>
                    <w:rPr>
                      <w:rFonts w:ascii="Verdana" w:eastAsia="Times New Roman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r w:rsidRPr="00E229FF">
                    <w:rPr>
                      <w:rFonts w:ascii="Verdana" w:eastAsia="Times New Roman" w:hAnsi="Verdana" w:cs="Verdana"/>
                      <w:color w:val="000000"/>
                      <w:position w:val="-2"/>
                      <w:sz w:val="17"/>
                      <w:szCs w:val="17"/>
                    </w:rPr>
                    <w:t>Recommendations for option selections:</w:t>
                  </w:r>
                  <w:r w:rsidRPr="00E229FF">
                    <w:rPr>
                      <w:rFonts w:ascii="Verdana" w:eastAsia="Times New Roman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(Please note that these are recommendations only and any selections should be verified with the provincial accounting association in your area.)</w:t>
                  </w:r>
                </w:p>
                <w:p w14:paraId="0AEE163B" w14:textId="77777777" w:rsidR="0007651B" w:rsidRPr="00E229FF" w:rsidRDefault="00317A2E" w:rsidP="00E229FF">
                  <w:pPr>
                    <w:pStyle w:val="h4"/>
                    <w:numPr>
                      <w:ilvl w:val="0"/>
                      <w:numId w:val="1"/>
                    </w:numPr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</w:pPr>
                  <w:hyperlink r:id="rId22" w:history="1">
                    <w:r w:rsidR="0007651B" w:rsidRPr="00E229FF">
                      <w:rPr>
                        <w:rFonts w:ascii="MinionPro-Regular" w:eastAsia="Times New Roman" w:hAnsi="MinionPro-Regular" w:cs="MinionPro-Regular"/>
                        <w:b w:val="0"/>
                        <w:bCs w:val="0"/>
                        <w:color w:val="006600"/>
                      </w:rPr>
                      <w:t>MGSC312</w:t>
                    </w:r>
                  </w:hyperlink>
                  <w:r w:rsidR="0007651B" w:rsidRPr="00E229FF">
                    <w:rPr>
                      <w:rFonts w:ascii="MinionPro-Bold" w:eastAsia="Times New Roman" w:hAnsi="MinionPro-Bold" w:cs="MinionPro-Bold"/>
                      <w:b w:val="0"/>
                    </w:rPr>
                    <w:t xml:space="preserve"> </w:t>
                  </w:r>
                  <w:r w:rsidR="0007651B" w:rsidRPr="00E229FF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is </w:t>
                  </w:r>
                  <w:r w:rsidR="00555A56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recommended for </w:t>
                  </w:r>
                  <w:r w:rsidR="0007651B" w:rsidRPr="00E229FF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ACCT454 and </w:t>
                  </w:r>
                  <w:r w:rsidR="00555A56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>may</w:t>
                  </w:r>
                  <w:r w:rsidR="0007651B" w:rsidRPr="00E229FF">
                    <w:rPr>
                      <w:rFonts w:ascii="Verdana" w:eastAsia="Calibri" w:hAnsi="Verdana" w:cs="Verdana"/>
                      <w:b w:val="0"/>
                      <w:bCs w:val="0"/>
                      <w:position w:val="-2"/>
                      <w:sz w:val="17"/>
                      <w:szCs w:val="17"/>
                    </w:rPr>
                    <w:t xml:space="preserve"> be taken as an option prior to taking this course if not already completed elsewhere.</w:t>
                  </w:r>
                </w:p>
                <w:p w14:paraId="6AD78B28" w14:textId="77777777" w:rsidR="0007651B" w:rsidRPr="00E229FF" w:rsidRDefault="0007651B" w:rsidP="00E229FF">
                  <w:pPr>
                    <w:pStyle w:val="ul"/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</w:pPr>
                </w:p>
                <w:p w14:paraId="6A02606F" w14:textId="77777777" w:rsidR="0007651B" w:rsidRPr="007C065D" w:rsidRDefault="00317A2E" w:rsidP="008351ED">
                  <w:pPr>
                    <w:pStyle w:val="ul"/>
                    <w:numPr>
                      <w:ilvl w:val="0"/>
                      <w:numId w:val="1"/>
                    </w:numPr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</w:pPr>
                  <w:hyperlink r:id="rId23" w:history="1">
                    <w:r w:rsidR="0007651B" w:rsidRPr="007C065D">
                      <w:rPr>
                        <w:rFonts w:eastAsia="Times New Roman"/>
                        <w:color w:val="006600"/>
                      </w:rPr>
                      <w:t>ADMN404</w:t>
                    </w:r>
                  </w:hyperlink>
                  <w:r w:rsidR="0007651B" w:rsidRPr="007C065D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 assumes previous knowledge in the following subject areas is present (ACCT/FNCE, MKTG, ECON, ADMN/MGMT) and is recommended to be taken last or with the last set of courses in your program.</w:t>
                  </w:r>
                  <w:r w:rsidR="006F49C8" w:rsidRPr="007C065D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  </w:t>
                  </w:r>
                </w:p>
                <w:p w14:paraId="783A7988" w14:textId="3051A321" w:rsidR="0007651B" w:rsidRPr="00E229FF" w:rsidRDefault="0007651B" w:rsidP="00E229FF">
                  <w:pPr>
                    <w:pStyle w:val="ul"/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</w:pPr>
                  <w:r w:rsidRPr="00E229FF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If planning to pursue a professional accounting designation: Options should be chosen in </w:t>
                  </w:r>
                  <w:r w:rsidRPr="00E229FF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lastRenderedPageBreak/>
                    <w:t>consultation with the provincial association to</w:t>
                  </w:r>
                  <w:r w:rsidR="115C22BC" w:rsidRPr="00E229FF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 which you are applying</w:t>
                  </w:r>
                  <w:r w:rsidRPr="00E229FF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>.  Confirm your provincial association requirements before selecting.</w:t>
                  </w:r>
                </w:p>
                <w:p w14:paraId="7655563B" w14:textId="260CDBDE" w:rsidR="002037F2" w:rsidRPr="00E229FF" w:rsidRDefault="002037F2" w:rsidP="002037F2">
                  <w:pPr>
                    <w:pStyle w:val="p"/>
                    <w:ind w:firstLine="0"/>
                    <w:rPr>
                      <w:rFonts w:eastAsia="Times New Roman"/>
                      <w:sz w:val="22"/>
                      <w:szCs w:val="22"/>
                    </w:rPr>
                  </w:pPr>
                  <w:r w:rsidRPr="002037F2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For more details, visit the </w:t>
                  </w:r>
                  <w:hyperlink r:id="rId24">
                    <w:r w:rsidR="00F921F4" w:rsidRPr="3C68317B">
                      <w:rPr>
                        <w:rStyle w:val="Hyperlink"/>
                      </w:rPr>
                      <w:t>Chartered Professional Accountant</w:t>
                    </w:r>
                    <w:r w:rsidR="14041F3F" w:rsidRPr="3C68317B">
                      <w:rPr>
                        <w:rStyle w:val="Hyperlink"/>
                      </w:rPr>
                      <w:t>s</w:t>
                    </w:r>
                  </w:hyperlink>
                  <w:r w:rsidR="00F921F4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 xml:space="preserve"> </w:t>
                  </w:r>
                  <w:r w:rsidRPr="002037F2">
                    <w:rPr>
                      <w:rFonts w:ascii="Verdana" w:eastAsia="Calibri" w:hAnsi="Verdana" w:cs="Verdana"/>
                      <w:position w:val="-2"/>
                      <w:sz w:val="17"/>
                      <w:szCs w:val="17"/>
                    </w:rPr>
                    <w:t>page of our website.</w:t>
                  </w:r>
                </w:p>
                <w:p w14:paraId="42DA1124" w14:textId="77777777" w:rsidR="0007651B" w:rsidRPr="00E229FF" w:rsidRDefault="0007651B" w:rsidP="00E229FF">
                  <w:pPr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5027EF49" w14:textId="77777777" w:rsidR="005034C4" w:rsidRPr="00E229FF" w:rsidRDefault="005034C4" w:rsidP="00E229FF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368E63D6" w14:textId="77777777" w:rsidR="003157DD" w:rsidRPr="00C65938" w:rsidRDefault="003157DD" w:rsidP="00CF45E8">
      <w:pPr>
        <w:ind w:left="-142"/>
        <w:rPr>
          <w:rFonts w:cs="Arial"/>
        </w:rPr>
      </w:pPr>
    </w:p>
    <w:sectPr w:rsidR="003157DD" w:rsidRPr="00C65938" w:rsidSect="00FA72AF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924C1" w14:textId="77777777" w:rsidR="009B1913" w:rsidRDefault="009B1913" w:rsidP="007204D7">
      <w:r>
        <w:separator/>
      </w:r>
    </w:p>
  </w:endnote>
  <w:endnote w:type="continuationSeparator" w:id="0">
    <w:p w14:paraId="373263F9" w14:textId="77777777" w:rsidR="009B1913" w:rsidRDefault="009B191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B8E2B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2E15" w14:textId="3926174C" w:rsidR="00677284" w:rsidRPr="004D2FC3" w:rsidRDefault="00793931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3861E4" wp14:editId="5F902D48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02CEE8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861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6F02CEE8" w14:textId="77777777" w:rsidR="00677284" w:rsidRDefault="0067728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A102B1D" wp14:editId="56FE027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148387F8" wp14:editId="5DACDA42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82BF9" w14:textId="77777777" w:rsidR="009B1913" w:rsidRDefault="009B1913" w:rsidP="007204D7">
      <w:r>
        <w:separator/>
      </w:r>
    </w:p>
  </w:footnote>
  <w:footnote w:type="continuationSeparator" w:id="0">
    <w:p w14:paraId="3EC23C4B" w14:textId="77777777" w:rsidR="009B1913" w:rsidRDefault="009B191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F5DC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F56CB6A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75B2" w14:textId="417765E6" w:rsidR="00677284" w:rsidRPr="00360779" w:rsidRDefault="00793931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30B176" wp14:editId="3374A00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952D5B9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0B1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1952D5B9" w14:textId="77777777" w:rsidR="00677284" w:rsidRDefault="0067728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E14BA36" wp14:editId="2F09BE66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2037F2">
      <w:t>2</w:t>
    </w:r>
    <w:r w:rsidR="00317A2E">
      <w:t>4</w:t>
    </w:r>
    <w:r w:rsidR="00677284" w:rsidRPr="00360779">
      <w:t xml:space="preserve"> / 20</w:t>
    </w:r>
    <w:r w:rsidR="002037F2">
      <w:t>2</w:t>
    </w:r>
    <w:r w:rsidR="00317A2E">
      <w:t>5</w:t>
    </w:r>
  </w:p>
  <w:p w14:paraId="6F09FD9C" w14:textId="77777777" w:rsidR="00677284" w:rsidRDefault="00677284">
    <w:pPr>
      <w:pStyle w:val="Header"/>
    </w:pPr>
  </w:p>
  <w:p w14:paraId="6D53429B" w14:textId="77777777" w:rsidR="00677284" w:rsidRDefault="00677284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0348C"/>
    <w:multiLevelType w:val="hybridMultilevel"/>
    <w:tmpl w:val="7D5A4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41A5D"/>
    <w:rsid w:val="00071530"/>
    <w:rsid w:val="0007503A"/>
    <w:rsid w:val="0007651B"/>
    <w:rsid w:val="000A2223"/>
    <w:rsid w:val="000A2E9A"/>
    <w:rsid w:val="000A4D67"/>
    <w:rsid w:val="000C6321"/>
    <w:rsid w:val="000E287E"/>
    <w:rsid w:val="00110300"/>
    <w:rsid w:val="00127279"/>
    <w:rsid w:val="001421A8"/>
    <w:rsid w:val="00163542"/>
    <w:rsid w:val="00163CEF"/>
    <w:rsid w:val="00175B16"/>
    <w:rsid w:val="0018384B"/>
    <w:rsid w:val="00190233"/>
    <w:rsid w:val="001A1CC4"/>
    <w:rsid w:val="001C173F"/>
    <w:rsid w:val="001C3174"/>
    <w:rsid w:val="001E08BA"/>
    <w:rsid w:val="001E4C32"/>
    <w:rsid w:val="001E7660"/>
    <w:rsid w:val="002019BF"/>
    <w:rsid w:val="002027AA"/>
    <w:rsid w:val="002037F2"/>
    <w:rsid w:val="002158DA"/>
    <w:rsid w:val="00220DD9"/>
    <w:rsid w:val="00261398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17A2E"/>
    <w:rsid w:val="00320C7D"/>
    <w:rsid w:val="00346138"/>
    <w:rsid w:val="00346F02"/>
    <w:rsid w:val="00354A60"/>
    <w:rsid w:val="00360779"/>
    <w:rsid w:val="00365D00"/>
    <w:rsid w:val="003715CB"/>
    <w:rsid w:val="0037360F"/>
    <w:rsid w:val="00373A59"/>
    <w:rsid w:val="00383FA6"/>
    <w:rsid w:val="0039440C"/>
    <w:rsid w:val="003C2218"/>
    <w:rsid w:val="003D7FE7"/>
    <w:rsid w:val="003F3A20"/>
    <w:rsid w:val="003F5516"/>
    <w:rsid w:val="00404180"/>
    <w:rsid w:val="00405889"/>
    <w:rsid w:val="00415870"/>
    <w:rsid w:val="00437B30"/>
    <w:rsid w:val="00442221"/>
    <w:rsid w:val="004559D6"/>
    <w:rsid w:val="004757DB"/>
    <w:rsid w:val="004910C4"/>
    <w:rsid w:val="004A2159"/>
    <w:rsid w:val="004D2FC3"/>
    <w:rsid w:val="004D47BF"/>
    <w:rsid w:val="004E0791"/>
    <w:rsid w:val="004F4FFB"/>
    <w:rsid w:val="005034C4"/>
    <w:rsid w:val="00504860"/>
    <w:rsid w:val="00514BCE"/>
    <w:rsid w:val="00531544"/>
    <w:rsid w:val="0054390F"/>
    <w:rsid w:val="00555A56"/>
    <w:rsid w:val="00562C8D"/>
    <w:rsid w:val="00571729"/>
    <w:rsid w:val="005B6AA8"/>
    <w:rsid w:val="005C54F8"/>
    <w:rsid w:val="006053E1"/>
    <w:rsid w:val="00626D5F"/>
    <w:rsid w:val="00634A6A"/>
    <w:rsid w:val="00675090"/>
    <w:rsid w:val="00677284"/>
    <w:rsid w:val="006864ED"/>
    <w:rsid w:val="006908F7"/>
    <w:rsid w:val="006938D2"/>
    <w:rsid w:val="006956AC"/>
    <w:rsid w:val="006B0404"/>
    <w:rsid w:val="006B5C70"/>
    <w:rsid w:val="006B7D75"/>
    <w:rsid w:val="006C2AC2"/>
    <w:rsid w:val="006E700D"/>
    <w:rsid w:val="006F1EB8"/>
    <w:rsid w:val="006F49C8"/>
    <w:rsid w:val="006F4AC0"/>
    <w:rsid w:val="006F5091"/>
    <w:rsid w:val="007204D7"/>
    <w:rsid w:val="00724F85"/>
    <w:rsid w:val="00727965"/>
    <w:rsid w:val="007339AD"/>
    <w:rsid w:val="007916C2"/>
    <w:rsid w:val="00793931"/>
    <w:rsid w:val="007A4506"/>
    <w:rsid w:val="007A4676"/>
    <w:rsid w:val="007B2D6E"/>
    <w:rsid w:val="007C065D"/>
    <w:rsid w:val="007C53E3"/>
    <w:rsid w:val="007C5F48"/>
    <w:rsid w:val="007D604D"/>
    <w:rsid w:val="00806041"/>
    <w:rsid w:val="00814A73"/>
    <w:rsid w:val="008264D0"/>
    <w:rsid w:val="00831A40"/>
    <w:rsid w:val="008351ED"/>
    <w:rsid w:val="00841C88"/>
    <w:rsid w:val="0086254B"/>
    <w:rsid w:val="00883FF3"/>
    <w:rsid w:val="008B51A7"/>
    <w:rsid w:val="008E197B"/>
    <w:rsid w:val="008E4972"/>
    <w:rsid w:val="008E7CA7"/>
    <w:rsid w:val="008F1C4C"/>
    <w:rsid w:val="008F37F3"/>
    <w:rsid w:val="0090078A"/>
    <w:rsid w:val="00910EE8"/>
    <w:rsid w:val="00925439"/>
    <w:rsid w:val="00930323"/>
    <w:rsid w:val="009552D2"/>
    <w:rsid w:val="00991A17"/>
    <w:rsid w:val="009A08DD"/>
    <w:rsid w:val="009A2C77"/>
    <w:rsid w:val="009A2E73"/>
    <w:rsid w:val="009A321A"/>
    <w:rsid w:val="009A6529"/>
    <w:rsid w:val="009B1913"/>
    <w:rsid w:val="009B4F27"/>
    <w:rsid w:val="009C1B59"/>
    <w:rsid w:val="009C2D7C"/>
    <w:rsid w:val="009D00A7"/>
    <w:rsid w:val="009D33CB"/>
    <w:rsid w:val="009F3018"/>
    <w:rsid w:val="00A037DA"/>
    <w:rsid w:val="00A04A06"/>
    <w:rsid w:val="00A16D60"/>
    <w:rsid w:val="00A207A5"/>
    <w:rsid w:val="00A3483C"/>
    <w:rsid w:val="00A72D00"/>
    <w:rsid w:val="00A80FF4"/>
    <w:rsid w:val="00AA6BD4"/>
    <w:rsid w:val="00AA70F7"/>
    <w:rsid w:val="00AC4347"/>
    <w:rsid w:val="00AF3B24"/>
    <w:rsid w:val="00B05A8D"/>
    <w:rsid w:val="00B06EC8"/>
    <w:rsid w:val="00B30270"/>
    <w:rsid w:val="00B31834"/>
    <w:rsid w:val="00B34499"/>
    <w:rsid w:val="00B36F6D"/>
    <w:rsid w:val="00B904D7"/>
    <w:rsid w:val="00BA1EB9"/>
    <w:rsid w:val="00BB5399"/>
    <w:rsid w:val="00BC4341"/>
    <w:rsid w:val="00BD149D"/>
    <w:rsid w:val="00BE0E4C"/>
    <w:rsid w:val="00BE3027"/>
    <w:rsid w:val="00C24C8C"/>
    <w:rsid w:val="00C47869"/>
    <w:rsid w:val="00C51914"/>
    <w:rsid w:val="00C65938"/>
    <w:rsid w:val="00C6684E"/>
    <w:rsid w:val="00C91BCA"/>
    <w:rsid w:val="00C97676"/>
    <w:rsid w:val="00CA0463"/>
    <w:rsid w:val="00CB6026"/>
    <w:rsid w:val="00CB6B25"/>
    <w:rsid w:val="00CC3374"/>
    <w:rsid w:val="00CD3DC3"/>
    <w:rsid w:val="00CE1947"/>
    <w:rsid w:val="00CF0903"/>
    <w:rsid w:val="00CF092F"/>
    <w:rsid w:val="00CF1E23"/>
    <w:rsid w:val="00CF4147"/>
    <w:rsid w:val="00CF45E8"/>
    <w:rsid w:val="00D16090"/>
    <w:rsid w:val="00D410C6"/>
    <w:rsid w:val="00DA3C99"/>
    <w:rsid w:val="00DB7589"/>
    <w:rsid w:val="00DC5989"/>
    <w:rsid w:val="00DF67A9"/>
    <w:rsid w:val="00E06BF5"/>
    <w:rsid w:val="00E16B8E"/>
    <w:rsid w:val="00E17E70"/>
    <w:rsid w:val="00E229FF"/>
    <w:rsid w:val="00E23B6A"/>
    <w:rsid w:val="00E7209C"/>
    <w:rsid w:val="00E97EEF"/>
    <w:rsid w:val="00EC0856"/>
    <w:rsid w:val="00EC18A1"/>
    <w:rsid w:val="00EE1067"/>
    <w:rsid w:val="00EF25F7"/>
    <w:rsid w:val="00F043E5"/>
    <w:rsid w:val="00F121E3"/>
    <w:rsid w:val="00F260B1"/>
    <w:rsid w:val="00F33AE1"/>
    <w:rsid w:val="00F56BF4"/>
    <w:rsid w:val="00F56E36"/>
    <w:rsid w:val="00F8430A"/>
    <w:rsid w:val="00F921F4"/>
    <w:rsid w:val="00FA72AF"/>
    <w:rsid w:val="00FC6FB6"/>
    <w:rsid w:val="115C22BC"/>
    <w:rsid w:val="14041F3F"/>
    <w:rsid w:val="3C68317B"/>
    <w:rsid w:val="7F0CC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7D782"/>
  <w14:defaultImageDpi w14:val="300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paragraph" w:customStyle="1" w:styleId="h4">
    <w:name w:val="h4"/>
    <w:basedOn w:val="Normal"/>
    <w:uiPriority w:val="99"/>
    <w:rsid w:val="0007651B"/>
    <w:pPr>
      <w:widowControl w:val="0"/>
      <w:tabs>
        <w:tab w:val="left" w:pos="240"/>
        <w:tab w:val="left" w:pos="480"/>
        <w:tab w:val="left" w:pos="720"/>
      </w:tabs>
      <w:suppressAutoHyphens/>
      <w:autoSpaceDE w:val="0"/>
      <w:autoSpaceDN w:val="0"/>
      <w:adjustRightInd w:val="0"/>
      <w:spacing w:before="120" w:line="240" w:lineRule="atLeast"/>
      <w:textAlignment w:val="baseline"/>
    </w:pPr>
    <w:rPr>
      <w:rFonts w:ascii="Minion-Bold" w:hAnsi="Minion-Bold" w:cs="Minion-Bold"/>
      <w:b/>
      <w:bCs/>
      <w:color w:val="000000"/>
      <w:sz w:val="19"/>
      <w:szCs w:val="19"/>
    </w:rPr>
  </w:style>
  <w:style w:type="paragraph" w:customStyle="1" w:styleId="ul">
    <w:name w:val="ul"/>
    <w:basedOn w:val="p"/>
    <w:uiPriority w:val="99"/>
    <w:rsid w:val="0007651B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lear" w:pos="4680"/>
        <w:tab w:val="clear" w:pos="5040"/>
        <w:tab w:val="clear" w:pos="5400"/>
        <w:tab w:val="clear" w:pos="5760"/>
        <w:tab w:val="left" w:pos="240"/>
        <w:tab w:val="left" w:pos="480"/>
      </w:tabs>
      <w:suppressAutoHyphens/>
      <w:ind w:left="240" w:hanging="240"/>
      <w:jc w:val="left"/>
    </w:pPr>
  </w:style>
  <w:style w:type="character" w:styleId="FollowedHyperlink">
    <w:name w:val="FollowedHyperlink"/>
    <w:uiPriority w:val="99"/>
    <w:semiHidden/>
    <w:unhideWhenUsed/>
    <w:rsid w:val="00555A56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CA04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thabascau.ca/html/syllabi/acct/acct451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course/index.html?/undergraduate/business-and-administrative/al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thabascau.ca/business/about/contact-us.html" TargetMode="External"/><Relationship Id="rId17" Type="http://schemas.openxmlformats.org/officeDocument/2006/relationships/hyperlink" Target="http://www.athabascau.ca/html/syllabi/acct/acct460.htm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taxx/taxx301.htm" TargetMode="External"/><Relationship Id="rId20" Type="http://schemas.openxmlformats.org/officeDocument/2006/relationships/hyperlink" Target="http://www.athabascau.ca/syllabi/admn/admn404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habascau.ca/calendar/2024/undergraduate/program-regulations/university-certificates/university-certificate-in-advanced-accounting.html" TargetMode="External"/><Relationship Id="rId24" Type="http://schemas.openxmlformats.org/officeDocument/2006/relationships/hyperlink" Target="https://www.athabascau.ca/business/about/about-our-offerings/professional-development/chartered-professional-accountant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syllabi/admn/admn404.php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athabascau.ca/syllabi/taxx/taxx401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thabascau.ca/html/syllabi/acct/acct454.htm" TargetMode="External"/><Relationship Id="rId22" Type="http://schemas.openxmlformats.org/officeDocument/2006/relationships/hyperlink" Target="http://www.athabascau.ca/syllabi/mgsc/mgsc312.ph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87C6C-2AE5-40ED-B0BF-82343C001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C4911-AA03-442F-A3EC-118C079A7C9C}">
  <ds:schemaRefs>
    <ds:schemaRef ds:uri="01089b0d-8d34-4d41-aaab-6507c8eb247d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62d06e2-7fc2-4185-9915-ed7060eb836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BA6576-8BA7-48B1-9120-47E48B948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CF98F-C0EC-43FB-95FC-F4038291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2024-08-20T21:44:00Z</dcterms:created>
  <dcterms:modified xsi:type="dcterms:W3CDTF">2024-08-20T21:45:00Z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